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5A" w:rsidRDefault="0089505A" w:rsidP="0089505A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  <w:bookmarkStart w:id="0" w:name="_GoBack"/>
      <w:bookmarkEnd w:id="0"/>
      <w:r w:rsidRPr="009401B3">
        <w:rPr>
          <w:rFonts w:ascii="Times New Roman" w:hAnsi="Times New Roman"/>
          <w14:cntxtAlts/>
        </w:rPr>
        <w:t>Расчет договорной цены</w:t>
      </w:r>
    </w:p>
    <w:p w:rsidR="0089505A" w:rsidRPr="009401B3" w:rsidRDefault="0089505A" w:rsidP="0089505A">
      <w:pPr>
        <w:spacing w:after="0" w:line="240" w:lineRule="auto"/>
        <w:contextualSpacing/>
        <w:jc w:val="center"/>
        <w:rPr>
          <w:rFonts w:ascii="Times New Roman" w:hAnsi="Times New Roman"/>
          <w14:cntxtAlts/>
        </w:rPr>
      </w:pPr>
    </w:p>
    <w:p w:rsidR="0089505A" w:rsidRPr="00F56C60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 w:val="0"/>
          <w:bCs/>
          <w:snapToGrid/>
          <w:sz w:val="22"/>
          <w:szCs w:val="22"/>
          <w14:cntxtAlts/>
        </w:rPr>
      </w:pPr>
      <w:r w:rsidRPr="00F56C60">
        <w:rPr>
          <w:bCs/>
          <w:snapToGrid/>
          <w:sz w:val="22"/>
          <w:szCs w:val="22"/>
          <w14:cntxtAlts/>
        </w:rPr>
        <w:t>___</w:t>
      </w:r>
      <w:r w:rsidRPr="00F56C60">
        <w:rPr>
          <w:b w:val="0"/>
          <w:bCs/>
          <w:snapToGrid/>
          <w:sz w:val="22"/>
          <w:szCs w:val="22"/>
          <w14:cntxtAlts/>
        </w:rPr>
        <w:t xml:space="preserve">, именуемое в дальнейшем «Заказчик», в лице </w:t>
      </w:r>
      <w:r w:rsidRPr="00F56C60">
        <w:rPr>
          <w:bCs/>
          <w:snapToGrid/>
          <w:sz w:val="22"/>
          <w:szCs w:val="22"/>
          <w14:cntxtAlts/>
        </w:rPr>
        <w:t>___</w:t>
      </w:r>
      <w:r w:rsidRPr="00F56C60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F56C60">
        <w:rPr>
          <w:bCs/>
          <w:snapToGrid/>
          <w:sz w:val="22"/>
          <w:szCs w:val="22"/>
          <w14:cntxtAlts/>
        </w:rPr>
        <w:t>___</w:t>
      </w:r>
      <w:r w:rsidRPr="00F56C60">
        <w:rPr>
          <w:b w:val="0"/>
          <w:bCs/>
          <w:snapToGrid/>
          <w:sz w:val="22"/>
          <w:szCs w:val="22"/>
          <w14:cntxtAlts/>
        </w:rPr>
        <w:t>, с одной стороны,</w:t>
      </w:r>
      <w:r w:rsidRPr="00F56C60">
        <w:rPr>
          <w:b w:val="0"/>
          <w:sz w:val="22"/>
          <w:szCs w:val="22"/>
          <w14:cntxtAlts/>
        </w:rPr>
        <w:t xml:space="preserve"> и </w:t>
      </w:r>
    </w:p>
    <w:p w:rsidR="0089505A" w:rsidRPr="00F56C60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 w:val="0"/>
          <w:sz w:val="22"/>
          <w:szCs w:val="22"/>
          <w14:cntxtAlts/>
        </w:rPr>
      </w:pPr>
      <w:r w:rsidRPr="00F56C60">
        <w:rPr>
          <w:bCs/>
          <w:snapToGrid/>
          <w:sz w:val="22"/>
          <w:szCs w:val="22"/>
          <w14:cntxtAlts/>
        </w:rPr>
        <w:t>___</w:t>
      </w:r>
      <w:r w:rsidRPr="00F56C60">
        <w:rPr>
          <w:b w:val="0"/>
          <w:sz w:val="22"/>
          <w:szCs w:val="22"/>
          <w14:cntxtAlts/>
        </w:rPr>
        <w:t xml:space="preserve">, именуемый в дальнейшем «Подрядчик», </w:t>
      </w:r>
      <w:r w:rsidRPr="00F56C60">
        <w:rPr>
          <w:b w:val="0"/>
          <w:bCs/>
          <w:snapToGrid/>
          <w:sz w:val="22"/>
          <w:szCs w:val="22"/>
          <w14:cntxtAlts/>
        </w:rPr>
        <w:t xml:space="preserve">в лице </w:t>
      </w:r>
      <w:r w:rsidRPr="00F56C60">
        <w:rPr>
          <w:bCs/>
          <w:snapToGrid/>
          <w:sz w:val="22"/>
          <w:szCs w:val="22"/>
          <w14:cntxtAlts/>
        </w:rPr>
        <w:t>___</w:t>
      </w:r>
      <w:r w:rsidRPr="00F56C60">
        <w:rPr>
          <w:b w:val="0"/>
          <w:bCs/>
          <w:snapToGrid/>
          <w:sz w:val="22"/>
          <w:szCs w:val="22"/>
          <w14:cntxtAlts/>
        </w:rPr>
        <w:t xml:space="preserve">, действующего на основании </w:t>
      </w:r>
      <w:r w:rsidRPr="00F56C60">
        <w:rPr>
          <w:bCs/>
          <w:snapToGrid/>
          <w:sz w:val="22"/>
          <w:szCs w:val="22"/>
          <w14:cntxtAlts/>
        </w:rPr>
        <w:t>___</w:t>
      </w:r>
      <w:r w:rsidRPr="00F56C60">
        <w:rPr>
          <w:b w:val="0"/>
          <w:bCs/>
          <w:snapToGrid/>
          <w:sz w:val="22"/>
          <w:szCs w:val="22"/>
          <w14:cntxtAlts/>
        </w:rPr>
        <w:t xml:space="preserve">, </w:t>
      </w:r>
      <w:r w:rsidRPr="00F56C60">
        <w:rPr>
          <w:b w:val="0"/>
          <w:sz w:val="22"/>
          <w:szCs w:val="22"/>
          <w14:cntxtAlts/>
        </w:rPr>
        <w:t xml:space="preserve">с другой стороны, </w:t>
      </w:r>
    </w:p>
    <w:p w:rsidR="0089505A" w:rsidRPr="00F56C60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 w:val="0"/>
          <w:bCs/>
          <w:snapToGrid/>
          <w:sz w:val="22"/>
          <w:szCs w:val="22"/>
          <w14:cntxtAlts/>
        </w:rPr>
      </w:pPr>
      <w:proofErr w:type="gramStart"/>
      <w:r w:rsidRPr="00F56C60">
        <w:rPr>
          <w:b w:val="0"/>
          <w:bCs/>
          <w:snapToGrid/>
          <w:sz w:val="22"/>
          <w:szCs w:val="22"/>
          <w14:cntxtAlts/>
        </w:rPr>
        <w:t>пришли</w:t>
      </w:r>
      <w:proofErr w:type="gramEnd"/>
      <w:r w:rsidRPr="00F56C60">
        <w:rPr>
          <w:b w:val="0"/>
          <w:bCs/>
          <w:snapToGrid/>
          <w:sz w:val="22"/>
          <w:szCs w:val="22"/>
          <w14:cntxtAlts/>
        </w:rPr>
        <w:t xml:space="preserve"> к соглашению о том, что цена Работ по договору подряда № ___ от ____ 2020 года составляет _________ рублей __ копеек</w:t>
      </w:r>
      <w:r w:rsidR="009F17C5">
        <w:rPr>
          <w:b w:val="0"/>
          <w:bCs/>
          <w:snapToGrid/>
          <w:sz w:val="22"/>
          <w:szCs w:val="22"/>
          <w14:cntxtAlts/>
        </w:rPr>
        <w:t>,</w:t>
      </w:r>
      <w:r w:rsidR="009F17C5" w:rsidRPr="009F17C5">
        <w:rPr>
          <w14:cntxtAlts/>
        </w:rPr>
        <w:t xml:space="preserve"> </w:t>
      </w:r>
      <w:r w:rsidR="009F17C5" w:rsidRPr="009F17C5">
        <w:rPr>
          <w:b w:val="0"/>
          <w14:cntxtAlts/>
        </w:rPr>
        <w:t xml:space="preserve">в </w:t>
      </w:r>
      <w:proofErr w:type="spellStart"/>
      <w:r w:rsidR="009F17C5" w:rsidRPr="009F17C5">
        <w:rPr>
          <w:b w:val="0"/>
          <w14:cntxtAlts/>
        </w:rPr>
        <w:t>т.ч</w:t>
      </w:r>
      <w:proofErr w:type="spellEnd"/>
      <w:r w:rsidR="009F17C5" w:rsidRPr="009F17C5">
        <w:rPr>
          <w:b w:val="0"/>
          <w14:cntxtAlts/>
        </w:rPr>
        <w:t>. НДС (__%) - _________ рублей</w:t>
      </w:r>
      <w:r w:rsidRPr="009F17C5">
        <w:rPr>
          <w:b w:val="0"/>
          <w:bCs/>
          <w:snapToGrid/>
          <w:sz w:val="22"/>
          <w:szCs w:val="22"/>
          <w14:cntxtAlts/>
        </w:rPr>
        <w:t>.</w:t>
      </w:r>
    </w:p>
    <w:p w:rsidR="0089505A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 w:val="0"/>
          <w:bCs/>
          <w:snapToGrid/>
          <w:sz w:val="22"/>
          <w:szCs w:val="22"/>
          <w14:cntxtAlts/>
        </w:rPr>
      </w:pPr>
      <w:r w:rsidRPr="00F56C60">
        <w:rPr>
          <w:b w:val="0"/>
          <w:bCs/>
          <w:snapToGrid/>
          <w:sz w:val="22"/>
          <w:szCs w:val="22"/>
          <w14:cntxtAlts/>
        </w:rPr>
        <w:t xml:space="preserve">Работы включают в себя все затраты Подрядчика, в том числе: командировочные расходы, перебазировку техники, транспортно-заготовительные расходы, расходы на электроэнергию, водоснабжение, разработку исполнительной документации, </w:t>
      </w:r>
      <w:r>
        <w:rPr>
          <w:b w:val="0"/>
          <w:bCs/>
          <w:snapToGrid/>
          <w:sz w:val="22"/>
          <w:szCs w:val="22"/>
          <w14:cntxtAlts/>
        </w:rPr>
        <w:t xml:space="preserve">расходы на материалы, оборудование, сырье и </w:t>
      </w:r>
      <w:r w:rsidRPr="00F56C60">
        <w:rPr>
          <w:b w:val="0"/>
          <w:bCs/>
          <w:snapToGrid/>
          <w:sz w:val="22"/>
          <w:szCs w:val="22"/>
          <w14:cntxtAlts/>
        </w:rPr>
        <w:t>иные расходы, необходимые для производства Работ.</w:t>
      </w:r>
    </w:p>
    <w:p w:rsidR="0089505A" w:rsidRPr="00F56C60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 w:val="0"/>
          <w:bCs/>
          <w:snapToGrid/>
          <w:sz w:val="22"/>
          <w:szCs w:val="22"/>
          <w14:cntxtAlts/>
        </w:rPr>
      </w:pPr>
      <w:r>
        <w:rPr>
          <w:b w:val="0"/>
          <w:bCs/>
          <w:snapToGrid/>
          <w:sz w:val="22"/>
          <w:szCs w:val="22"/>
          <w14:cntxtAlts/>
        </w:rPr>
        <w:t>Состав работ: __________.</w:t>
      </w:r>
    </w:p>
    <w:p w:rsidR="0089505A" w:rsidRPr="009401B3" w:rsidRDefault="0089505A" w:rsidP="0089505A">
      <w:pPr>
        <w:tabs>
          <w:tab w:val="left" w:pos="1965"/>
        </w:tabs>
        <w:spacing w:after="0" w:line="240" w:lineRule="auto"/>
        <w:contextualSpacing/>
        <w:jc w:val="right"/>
        <w:rPr>
          <w:rFonts w:ascii="Times New Roman" w:hAnsi="Times New Roman"/>
          <w:b/>
          <w14:cntxtAlts/>
        </w:rPr>
      </w:pPr>
    </w:p>
    <w:p w:rsidR="0089505A" w:rsidRPr="009401B3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Cs/>
          <w:snapToGrid/>
          <w:sz w:val="22"/>
          <w:szCs w:val="22"/>
          <w14:cntxtAlts/>
        </w:rPr>
      </w:pPr>
    </w:p>
    <w:p w:rsidR="0089505A" w:rsidRPr="009401B3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Cs/>
          <w:snapToGrid/>
          <w:sz w:val="22"/>
          <w:szCs w:val="22"/>
          <w14:cntxtAlts/>
        </w:rPr>
      </w:pPr>
    </w:p>
    <w:p w:rsidR="0089505A" w:rsidRPr="009401B3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Cs/>
          <w:snapToGrid/>
          <w:sz w:val="22"/>
          <w:szCs w:val="22"/>
          <w14:cntxtAlts/>
        </w:rPr>
      </w:pPr>
    </w:p>
    <w:p w:rsidR="0089505A" w:rsidRPr="009401B3" w:rsidRDefault="0089505A" w:rsidP="0089505A">
      <w:pPr>
        <w:pStyle w:val="FR3"/>
        <w:spacing w:line="240" w:lineRule="auto"/>
        <w:ind w:right="-1" w:firstLine="628"/>
        <w:contextualSpacing/>
        <w:jc w:val="both"/>
        <w:rPr>
          <w:b w:val="0"/>
          <w:bCs/>
          <w:snapToGrid/>
          <w:sz w:val="22"/>
          <w:szCs w:val="22"/>
          <w14:cntxtAlts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89505A" w:rsidRPr="009401B3" w:rsidTr="00AC73D8">
        <w:tc>
          <w:tcPr>
            <w:tcW w:w="4820" w:type="dxa"/>
            <w:shd w:val="clear" w:color="auto" w:fill="auto"/>
          </w:tcPr>
          <w:p w:rsidR="0089505A" w:rsidRPr="009401B3" w:rsidRDefault="0089505A" w:rsidP="00AC73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401B3">
              <w:rPr>
                <w:rFonts w:ascii="Times New Roman" w:hAnsi="Times New Roman"/>
                <w:b/>
              </w:rPr>
              <w:t>ЗАКАЗЧИК</w:t>
            </w: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89505A" w:rsidRPr="009401B3" w:rsidRDefault="0089505A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</w:p>
          <w:p w:rsidR="0089505A" w:rsidRPr="009401B3" w:rsidRDefault="0089505A" w:rsidP="00AC73D8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14:cntxtAlts/>
              </w:rPr>
            </w:pPr>
          </w:p>
        </w:tc>
        <w:tc>
          <w:tcPr>
            <w:tcW w:w="5103" w:type="dxa"/>
            <w:shd w:val="clear" w:color="auto" w:fill="auto"/>
          </w:tcPr>
          <w:p w:rsidR="0089505A" w:rsidRPr="009401B3" w:rsidRDefault="0089505A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right="-5" w:hanging="1"/>
              <w:contextualSpacing/>
              <w:jc w:val="center"/>
              <w:rPr>
                <w:rFonts w:ascii="Times New Roman" w:hAnsi="Times New Roman"/>
                <w:b/>
                <w:color w:val="000000"/>
                <w14:cntxtAlts/>
              </w:rPr>
            </w:pPr>
            <w:r w:rsidRPr="009401B3">
              <w:rPr>
                <w:rFonts w:ascii="Times New Roman" w:hAnsi="Times New Roman"/>
                <w:b/>
                <w:color w:val="000000"/>
                <w14:cntxtAlts/>
              </w:rPr>
              <w:t>ПОДРЯДЧИК:</w:t>
            </w: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  <w:bCs/>
                <w14:cntxtAlts/>
              </w:rPr>
              <w:t>__________________</w:t>
            </w: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6C5E20" w:rsidRPr="009401B3" w:rsidRDefault="006C5E20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89505A" w:rsidRPr="009401B3" w:rsidRDefault="0089505A" w:rsidP="00AC73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401B3">
              <w:rPr>
                <w:rFonts w:ascii="Times New Roman" w:hAnsi="Times New Roman"/>
              </w:rPr>
              <w:t xml:space="preserve"> _____________________ /</w:t>
            </w:r>
            <w:r w:rsidRPr="009401B3">
              <w:rPr>
                <w:rFonts w:ascii="Times New Roman" w:hAnsi="Times New Roman"/>
                <w:bCs/>
                <w14:cntxtAlts/>
              </w:rPr>
              <w:t>_________</w:t>
            </w:r>
            <w:r w:rsidRPr="009401B3">
              <w:rPr>
                <w:rFonts w:ascii="Times New Roman" w:hAnsi="Times New Roman"/>
              </w:rPr>
              <w:t xml:space="preserve">/ </w:t>
            </w:r>
          </w:p>
          <w:p w:rsidR="0089505A" w:rsidRPr="009401B3" w:rsidRDefault="0089505A" w:rsidP="00AC73D8">
            <w:pPr>
              <w:widowControl w:val="0"/>
              <w:tabs>
                <w:tab w:val="left" w:pos="4854"/>
              </w:tabs>
              <w:spacing w:after="0" w:line="240" w:lineRule="auto"/>
              <w:ind w:left="35" w:right="142" w:hanging="1"/>
              <w:contextualSpacing/>
              <w:jc w:val="both"/>
              <w:rPr>
                <w:rFonts w:ascii="Times New Roman" w:hAnsi="Times New Roman"/>
                <w14:cntxtAlts/>
              </w:rPr>
            </w:pPr>
          </w:p>
          <w:p w:rsidR="0089505A" w:rsidRPr="009401B3" w:rsidRDefault="0089505A" w:rsidP="00AC73D8">
            <w:pPr>
              <w:widowControl w:val="0"/>
              <w:tabs>
                <w:tab w:val="left" w:pos="4987"/>
              </w:tabs>
              <w:spacing w:after="0" w:line="240" w:lineRule="auto"/>
              <w:ind w:left="35" w:hanging="1"/>
              <w:contextualSpacing/>
              <w:jc w:val="both"/>
              <w:rPr>
                <w:rFonts w:ascii="Times New Roman" w:hAnsi="Times New Roman"/>
                <w14:cntxtAlts/>
              </w:rPr>
            </w:pPr>
            <w:r w:rsidRPr="009401B3">
              <w:rPr>
                <w:rFonts w:ascii="Times New Roman" w:hAnsi="Times New Roman"/>
                <w14:cntxtAlts/>
              </w:rPr>
              <w:t xml:space="preserve">                        М.П.</w:t>
            </w:r>
            <w:r w:rsidRPr="009401B3">
              <w:rPr>
                <w:rFonts w:ascii="Times New Roman" w:hAnsi="Times New Roman"/>
                <w:color w:val="000000"/>
                <w14:cntxtAlts/>
              </w:rPr>
              <w:t xml:space="preserve"> </w:t>
            </w:r>
          </w:p>
        </w:tc>
      </w:tr>
    </w:tbl>
    <w:p w:rsidR="0089505A" w:rsidRDefault="0089505A"/>
    <w:sectPr w:rsidR="0089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5A"/>
    <w:rsid w:val="00482B2B"/>
    <w:rsid w:val="006C5E20"/>
    <w:rsid w:val="0089505A"/>
    <w:rsid w:val="009F17C5"/>
    <w:rsid w:val="00B5234D"/>
    <w:rsid w:val="00C40F1E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3AC2D-8CE0-48CB-8B4D-5E734875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ЖОРЖ"/>
    <w:basedOn w:val="a"/>
    <w:link w:val="a4"/>
    <w:qFormat/>
    <w:rsid w:val="00C40F1E"/>
    <w:pPr>
      <w:spacing w:after="0" w:line="276" w:lineRule="auto"/>
      <w:jc w:val="both"/>
    </w:pPr>
    <w:rPr>
      <w:rFonts w:ascii="Georgia" w:hAnsi="Georgia"/>
    </w:rPr>
  </w:style>
  <w:style w:type="character" w:customStyle="1" w:styleId="a4">
    <w:name w:val="ЖОРЖ Знак"/>
    <w:basedOn w:val="a0"/>
    <w:link w:val="a3"/>
    <w:rsid w:val="00C40F1E"/>
    <w:rPr>
      <w:rFonts w:ascii="Georgia" w:hAnsi="Georgia"/>
    </w:rPr>
  </w:style>
  <w:style w:type="paragraph" w:customStyle="1" w:styleId="FR3">
    <w:name w:val="FR3"/>
    <w:rsid w:val="0089505A"/>
    <w:pPr>
      <w:widowControl w:val="0"/>
      <w:spacing w:after="0" w:line="380" w:lineRule="auto"/>
      <w:ind w:left="80" w:right="400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Bessonov</dc:creator>
  <cp:keywords/>
  <dc:description/>
  <cp:lastModifiedBy>Учетная запись Майкрософт</cp:lastModifiedBy>
  <cp:revision>6</cp:revision>
  <cp:lastPrinted>2020-10-13T15:49:00Z</cp:lastPrinted>
  <dcterms:created xsi:type="dcterms:W3CDTF">2020-09-09T12:18:00Z</dcterms:created>
  <dcterms:modified xsi:type="dcterms:W3CDTF">2020-10-13T15:49:00Z</dcterms:modified>
</cp:coreProperties>
</file>